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385" w:rsidRPr="00BF4385" w:rsidRDefault="00BF4385" w:rsidP="00BF4385">
      <w:pPr>
        <w:shd w:val="clear" w:color="auto" w:fill="FFFFFF"/>
        <w:spacing w:after="168" w:line="240" w:lineRule="auto"/>
        <w:outlineLvl w:val="1"/>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Impressum:</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Notare Jörg Franzke &amp; Dr. Christoph Harryers</w:t>
      </w:r>
      <w:r w:rsidRPr="00BF4385">
        <w:rPr>
          <w:rFonts w:ascii="Open Sans" w:eastAsia="Times New Roman" w:hAnsi="Open Sans" w:cs="Times New Roman"/>
          <w:color w:val="1D1D1B"/>
          <w:sz w:val="20"/>
          <w:szCs w:val="20"/>
          <w:lang w:eastAsia="de-DE"/>
        </w:rPr>
        <w:br/>
        <w:t>Jörg Franzke</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Kontaktdaten:</w:t>
      </w:r>
    </w:p>
    <w:tbl>
      <w:tblPr>
        <w:tblW w:w="0" w:type="auto"/>
        <w:tblCellSpacing w:w="15"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090"/>
        <w:gridCol w:w="2168"/>
      </w:tblGrid>
      <w:tr w:rsidR="00BF4385" w:rsidRPr="00BF4385" w:rsidTr="00BF4385">
        <w:trPr>
          <w:tblCellSpacing w:w="15" w:type="dxa"/>
        </w:trPr>
        <w:tc>
          <w:tcPr>
            <w:tcW w:w="0" w:type="auto"/>
            <w:tcBorders>
              <w:top w:val="nil"/>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Anschrift: </w:t>
            </w:r>
          </w:p>
        </w:tc>
        <w:tc>
          <w:tcPr>
            <w:tcW w:w="0" w:type="auto"/>
            <w:tcBorders>
              <w:top w:val="nil"/>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Ludwig-Jahn-Str. 21</w:t>
            </w:r>
            <w:r w:rsidRPr="00BF4385">
              <w:rPr>
                <w:rFonts w:ascii="Open Sans" w:eastAsia="Times New Roman" w:hAnsi="Open Sans" w:cs="Times New Roman"/>
                <w:color w:val="1D1D1B"/>
                <w:sz w:val="20"/>
                <w:szCs w:val="20"/>
                <w:lang w:eastAsia="de-DE"/>
              </w:rPr>
              <w:br/>
              <w:t>72250 Freudenstadt</w:t>
            </w:r>
          </w:p>
        </w:tc>
      </w:tr>
      <w:tr w:rsidR="00BF4385" w:rsidRPr="00BF4385" w:rsidTr="00BF4385">
        <w:trPr>
          <w:tblCellSpacing w:w="15" w:type="dxa"/>
        </w:trPr>
        <w:tc>
          <w:tcPr>
            <w:tcW w:w="0" w:type="auto"/>
            <w:tcBorders>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Telefon:</w:t>
            </w:r>
          </w:p>
        </w:tc>
        <w:tc>
          <w:tcPr>
            <w:tcW w:w="0" w:type="auto"/>
            <w:tcBorders>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0 74 41 / 93 0 92 - 22</w:t>
            </w:r>
          </w:p>
        </w:tc>
      </w:tr>
      <w:tr w:rsidR="00BF4385" w:rsidRPr="00BF4385" w:rsidTr="00BF4385">
        <w:trPr>
          <w:tblCellSpacing w:w="15" w:type="dxa"/>
        </w:trPr>
        <w:tc>
          <w:tcPr>
            <w:tcW w:w="0" w:type="auto"/>
            <w:tcBorders>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Fax:</w:t>
            </w:r>
          </w:p>
        </w:tc>
        <w:tc>
          <w:tcPr>
            <w:tcW w:w="0" w:type="auto"/>
            <w:tcBorders>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0 74 41 / 93 0 92 - 99</w:t>
            </w:r>
          </w:p>
        </w:tc>
      </w:tr>
      <w:tr w:rsidR="00BF4385" w:rsidRPr="00BF4385" w:rsidTr="00BF4385">
        <w:trPr>
          <w:tblCellSpacing w:w="15" w:type="dxa"/>
        </w:trPr>
        <w:tc>
          <w:tcPr>
            <w:tcW w:w="0" w:type="auto"/>
            <w:tcBorders>
              <w:left w:val="nil"/>
              <w:bottom w:val="nil"/>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E-Mail:</w:t>
            </w:r>
          </w:p>
        </w:tc>
        <w:tc>
          <w:tcPr>
            <w:tcW w:w="0" w:type="auto"/>
            <w:tcBorders>
              <w:bottom w:val="nil"/>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kanzlei@notare-f-h.de</w:t>
            </w:r>
          </w:p>
        </w:tc>
      </w:tr>
    </w:tbl>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Verantwortlicher / Verantwortliche für journalistisch-redaktionelle Texte: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Jörg Franzke</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Notar / Notarin: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Die gesetzliche Berufsbezeichnung </w:t>
      </w:r>
      <w:r w:rsidRPr="00582573">
        <w:rPr>
          <w:rFonts w:ascii="Open Sans" w:eastAsia="Times New Roman" w:hAnsi="Open Sans" w:cs="Times New Roman"/>
          <w:b/>
          <w:bCs/>
          <w:color w:val="1D1D1B"/>
          <w:sz w:val="20"/>
          <w:szCs w:val="20"/>
          <w:lang w:eastAsia="de-DE"/>
        </w:rPr>
        <w:t>Notar / Notarin</w:t>
      </w:r>
      <w:r w:rsidRPr="00BF4385">
        <w:rPr>
          <w:rFonts w:ascii="Open Sans" w:eastAsia="Times New Roman" w:hAnsi="Open Sans" w:cs="Times New Roman"/>
          <w:color w:val="1D1D1B"/>
          <w:sz w:val="20"/>
          <w:szCs w:val="20"/>
          <w:lang w:eastAsia="de-DE"/>
        </w:rPr>
        <w:t> wurde verliehen in der Bundesrepublik Deutschland (Baden-Württemberg).</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Zuständige Notarkammer:</w:t>
      </w:r>
    </w:p>
    <w:tbl>
      <w:tblPr>
        <w:tblW w:w="0" w:type="auto"/>
        <w:tblCellSpacing w:w="15"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314"/>
        <w:gridCol w:w="4662"/>
      </w:tblGrid>
      <w:tr w:rsidR="00BF4385" w:rsidRPr="00BF4385" w:rsidTr="00BF4385">
        <w:trPr>
          <w:tblCellSpacing w:w="15" w:type="dxa"/>
        </w:trPr>
        <w:tc>
          <w:tcPr>
            <w:tcW w:w="0" w:type="auto"/>
            <w:tcBorders>
              <w:top w:val="nil"/>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Notarkammer Baden</w:t>
            </w:r>
            <w:r w:rsidRPr="00BF4385">
              <w:rPr>
                <w:rFonts w:ascii="Open Sans" w:eastAsia="Times New Roman" w:hAnsi="Open Sans" w:cs="Times New Roman"/>
                <w:color w:val="1D1D1B"/>
                <w:sz w:val="20"/>
                <w:szCs w:val="20"/>
                <w:lang w:eastAsia="de-DE"/>
              </w:rPr>
              <w:noBreakHyphen/>
              <w:t>Württemberg</w:t>
            </w:r>
          </w:p>
        </w:tc>
        <w:tc>
          <w:tcPr>
            <w:tcW w:w="0" w:type="auto"/>
            <w:tcBorders>
              <w:top w:val="nil"/>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p>
        </w:tc>
      </w:tr>
      <w:tr w:rsidR="00BF4385" w:rsidRPr="00BF4385" w:rsidTr="00BF4385">
        <w:trPr>
          <w:tblCellSpacing w:w="15" w:type="dxa"/>
        </w:trPr>
        <w:tc>
          <w:tcPr>
            <w:tcW w:w="0" w:type="auto"/>
            <w:tcBorders>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Anschrift: </w:t>
            </w:r>
          </w:p>
        </w:tc>
        <w:tc>
          <w:tcPr>
            <w:tcW w:w="0" w:type="auto"/>
            <w:tcBorders>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Friedrichstr. 9a</w:t>
            </w:r>
            <w:r w:rsidRPr="00BF4385">
              <w:rPr>
                <w:rFonts w:ascii="Open Sans" w:eastAsia="Times New Roman" w:hAnsi="Open Sans" w:cs="Times New Roman"/>
                <w:color w:val="1D1D1B"/>
                <w:sz w:val="20"/>
                <w:szCs w:val="20"/>
                <w:lang w:eastAsia="de-DE"/>
              </w:rPr>
              <w:br/>
              <w:t>70174 Stuttgart</w:t>
            </w:r>
          </w:p>
        </w:tc>
      </w:tr>
      <w:tr w:rsidR="00BF4385" w:rsidRPr="00BF4385" w:rsidTr="00BF4385">
        <w:trPr>
          <w:tblCellSpacing w:w="15" w:type="dxa"/>
        </w:trPr>
        <w:tc>
          <w:tcPr>
            <w:tcW w:w="0" w:type="auto"/>
            <w:tcBorders>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Telefon:</w:t>
            </w:r>
          </w:p>
        </w:tc>
        <w:tc>
          <w:tcPr>
            <w:tcW w:w="0" w:type="auto"/>
            <w:tcBorders>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0711/3058770</w:t>
            </w:r>
          </w:p>
        </w:tc>
      </w:tr>
      <w:tr w:rsidR="00BF4385" w:rsidRPr="00BF4385" w:rsidTr="00BF4385">
        <w:trPr>
          <w:tblCellSpacing w:w="15" w:type="dxa"/>
        </w:trPr>
        <w:tc>
          <w:tcPr>
            <w:tcW w:w="0" w:type="auto"/>
            <w:tcBorders>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Fax:</w:t>
            </w:r>
          </w:p>
        </w:tc>
        <w:tc>
          <w:tcPr>
            <w:tcW w:w="0" w:type="auto"/>
            <w:tcBorders>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0711/8703181</w:t>
            </w:r>
          </w:p>
        </w:tc>
      </w:tr>
      <w:tr w:rsidR="00BF4385" w:rsidRPr="00BF4385" w:rsidTr="00BF4385">
        <w:trPr>
          <w:tblCellSpacing w:w="15" w:type="dxa"/>
        </w:trPr>
        <w:tc>
          <w:tcPr>
            <w:tcW w:w="0" w:type="auto"/>
            <w:tcBorders>
              <w:left w:val="nil"/>
              <w:bottom w:val="dashed" w:sz="6" w:space="0" w:color="auto"/>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E-Mail:</w:t>
            </w:r>
          </w:p>
        </w:tc>
        <w:tc>
          <w:tcPr>
            <w:tcW w:w="0" w:type="auto"/>
            <w:tcBorders>
              <w:bottom w:val="dashed" w:sz="6" w:space="0" w:color="auto"/>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notarkammer.baden-wuerttemberg@notarnet.de</w:t>
            </w:r>
          </w:p>
        </w:tc>
      </w:tr>
      <w:tr w:rsidR="00BF4385" w:rsidRPr="00BF4385" w:rsidTr="00BF4385">
        <w:trPr>
          <w:tblCellSpacing w:w="15" w:type="dxa"/>
        </w:trPr>
        <w:tc>
          <w:tcPr>
            <w:tcW w:w="0" w:type="auto"/>
            <w:tcBorders>
              <w:left w:val="nil"/>
              <w:bottom w:val="nil"/>
              <w:right w:val="dashed" w:sz="6" w:space="0" w:color="auto"/>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Web:</w:t>
            </w:r>
          </w:p>
        </w:tc>
        <w:tc>
          <w:tcPr>
            <w:tcW w:w="0" w:type="auto"/>
            <w:tcBorders>
              <w:bottom w:val="nil"/>
              <w:right w:val="nil"/>
            </w:tcBorders>
            <w:shd w:val="clear" w:color="auto" w:fill="FFFFFF"/>
            <w:tcMar>
              <w:top w:w="75" w:type="dxa"/>
              <w:left w:w="75" w:type="dxa"/>
              <w:bottom w:w="75" w:type="dxa"/>
              <w:right w:w="75" w:type="dxa"/>
            </w:tcMar>
            <w:hideMark/>
          </w:tcPr>
          <w:p w:rsidR="00BF4385" w:rsidRPr="00BF4385" w:rsidRDefault="00BF4385" w:rsidP="00BF4385">
            <w:pPr>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http://www.notarkammer-baden-wuerttemberg.de</w:t>
            </w:r>
          </w:p>
        </w:tc>
      </w:tr>
    </w:tbl>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bookmarkStart w:id="0" w:name="_GoBack"/>
      <w:bookmarkEnd w:id="0"/>
      <w:r w:rsidRPr="00BF4385">
        <w:rPr>
          <w:rFonts w:ascii="Frank Ruhl Libre" w:eastAsia="Times New Roman" w:hAnsi="Frank Ruhl Libre" w:cs="Times New Roman"/>
          <w:color w:val="1D1D1B"/>
          <w:sz w:val="20"/>
          <w:szCs w:val="20"/>
          <w:lang w:eastAsia="de-DE"/>
        </w:rPr>
        <w:t>Zuständige Aufsichtsbehörde: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Der Präsident des Landgerichts Rottweil</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Anschrift:</w:t>
      </w:r>
      <w:r w:rsidRPr="00BF4385">
        <w:rPr>
          <w:rFonts w:ascii="Open Sans" w:eastAsia="Times New Roman" w:hAnsi="Open Sans" w:cs="Times New Roman"/>
          <w:color w:val="1D1D1B"/>
          <w:sz w:val="20"/>
          <w:szCs w:val="20"/>
          <w:lang w:eastAsia="de-DE"/>
        </w:rPr>
        <w:br/>
        <w:t>Königstraße 20</w:t>
      </w:r>
      <w:r w:rsidRPr="00BF4385">
        <w:rPr>
          <w:rFonts w:ascii="Open Sans" w:eastAsia="Times New Roman" w:hAnsi="Open Sans" w:cs="Times New Roman"/>
          <w:color w:val="1D1D1B"/>
          <w:sz w:val="20"/>
          <w:szCs w:val="20"/>
          <w:lang w:eastAsia="de-DE"/>
        </w:rPr>
        <w:br/>
        <w:t>78628 Rottweil</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lastRenderedPageBreak/>
        <w:t>Der Berufsstand </w:t>
      </w:r>
      <w:r w:rsidRPr="00582573">
        <w:rPr>
          <w:rFonts w:ascii="Open Sans" w:eastAsia="Times New Roman" w:hAnsi="Open Sans" w:cs="Times New Roman"/>
          <w:b/>
          <w:bCs/>
          <w:color w:val="1D1D1B"/>
          <w:sz w:val="20"/>
          <w:szCs w:val="20"/>
          <w:lang w:eastAsia="de-DE"/>
        </w:rPr>
        <w:t>Notar / Notarin</w:t>
      </w:r>
      <w:r w:rsidRPr="00BF4385">
        <w:rPr>
          <w:rFonts w:ascii="Open Sans" w:eastAsia="Times New Roman" w:hAnsi="Open Sans" w:cs="Times New Roman"/>
          <w:color w:val="1D1D1B"/>
          <w:sz w:val="20"/>
          <w:szCs w:val="20"/>
          <w:lang w:eastAsia="de-DE"/>
        </w:rPr>
        <w:t> unterliegt den unter </w:t>
      </w:r>
      <w:hyperlink r:id="rId5" w:tgtFrame="_blank" w:tooltip="https://www.notar.de/der-notar/berufsrecht" w:history="1">
        <w:r w:rsidRPr="00582573">
          <w:rPr>
            <w:rFonts w:ascii="Open Sans" w:eastAsia="Times New Roman" w:hAnsi="Open Sans" w:cs="Times New Roman"/>
            <w:color w:val="4A4A49"/>
            <w:sz w:val="20"/>
            <w:szCs w:val="20"/>
            <w:u w:val="single"/>
            <w:lang w:eastAsia="de-DE"/>
          </w:rPr>
          <w:t>https://www.notar.de/der-notar/berufsrecht</w:t>
        </w:r>
      </w:hyperlink>
      <w:r w:rsidRPr="00BF4385">
        <w:rPr>
          <w:rFonts w:ascii="Open Sans" w:eastAsia="Times New Roman" w:hAnsi="Open Sans" w:cs="Times New Roman"/>
          <w:color w:val="1D1D1B"/>
          <w:sz w:val="20"/>
          <w:szCs w:val="20"/>
          <w:lang w:eastAsia="de-DE"/>
        </w:rPr>
        <w:t> genannten berufsrechtlichen Regelungen. </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Plattform der EU-Kommission zur Online-Streitbeilegung:</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hyperlink r:id="rId6" w:tgtFrame="_blank" w:tooltip="http://www.ec.europa.eu/consumers/odr" w:history="1">
        <w:r w:rsidRPr="00582573">
          <w:rPr>
            <w:rFonts w:ascii="Open Sans" w:eastAsia="Times New Roman" w:hAnsi="Open Sans" w:cs="Times New Roman"/>
            <w:color w:val="4A4A49"/>
            <w:sz w:val="20"/>
            <w:szCs w:val="20"/>
            <w:u w:val="single"/>
            <w:lang w:eastAsia="de-DE"/>
          </w:rPr>
          <w:t>www.ec.europa.eu/consumers/odr</w:t>
        </w:r>
      </w:hyperlink>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p>
    <w:p w:rsidR="00BF4385" w:rsidRPr="00BF4385" w:rsidRDefault="00BF4385" w:rsidP="00BF4385">
      <w:pPr>
        <w:shd w:val="clear" w:color="auto" w:fill="FFFFFF"/>
        <w:spacing w:after="168" w:line="240" w:lineRule="auto"/>
        <w:outlineLvl w:val="1"/>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Datenschutzerklärung</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Wir sind uns darüber bewusst, dass Ihnen der Schutz Ihrer Privatsphäre bei der Benutzung unserer Website ein wichtiges Anliegen ist. Wir nehmen den Schutz Ihrer persönlichen Daten sehr ernst. Deshalb möchten wir, dass Sie wissen, wann wir welche Daten speichern und wie wir sie verwenden. Wir möchten Sie mit dieser Datenschutzerklärung über unsere Maßnahmen zum Datenschutz in Kenntnis setzen.</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Erhebung personenbezogener Daten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Im Folgenden informieren wir über die Erhebung personenbezogener Daten bei Nutzung unserer Website. Personenbezogene Daten sind alle Daten, die direkt oder indirekt auf Sie persönlich beziehbar sind, z. B. Name, Adresse, E-Mail-Adressen, Nutzerverhalten.</w:t>
      </w:r>
      <w:r w:rsidRPr="00BF4385">
        <w:rPr>
          <w:rFonts w:ascii="Open Sans" w:eastAsia="Times New Roman" w:hAnsi="Open Sans" w:cs="Times New Roman"/>
          <w:color w:val="1D1D1B"/>
          <w:sz w:val="20"/>
          <w:szCs w:val="20"/>
          <w:lang w:eastAsia="de-DE"/>
        </w:rPr>
        <w:br/>
        <w:t xml:space="preserve">Wir verarbeiten Daten gemäß DS-GVO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a) b) c) f). Das bedeutet, dass wir personenbezogene Daten nur verarbeiten, wenn eine Einwilligung vorliegt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a), soweit zur Erfüllung eines Vertrages oder vorvertraglicher Maßnahmen erforderlich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b), wir rechtlich dazu verpflichtet sind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c) oder wir ein berechtigtes Interesse an der Verarbeitung haben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f). Die entsprechende Rechtsgrundlage wird im Einzelfall benannt.</w:t>
      </w:r>
      <w:r w:rsidRPr="00BF4385">
        <w:rPr>
          <w:rFonts w:ascii="Open Sans" w:eastAsia="Times New Roman" w:hAnsi="Open Sans" w:cs="Times New Roman"/>
          <w:color w:val="1D1D1B"/>
          <w:sz w:val="20"/>
          <w:szCs w:val="20"/>
          <w:lang w:eastAsia="de-DE"/>
        </w:rPr>
        <w:br/>
        <w:t xml:space="preserve">Bei Ihrer Kontaktaufnahme mit uns per E-Mail oder über ein Kontaktformular werden die von Ihnen mitgeteilten Daten (Ihre E-Mail-Adresse, ggf. Ihr Name und Ihre Telefonnummer) von uns gespeichert, um Ihre Fragen zu beantworten. Die in diesem Zusammenhang anfallenden Daten löschen wir, nachdem der Zweck der Anfrage entfallen ist. Je nach Art der Anfrage erheben wir diese Daten mit Ihrer ausdrücklichen Einwilligung gem.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xml:space="preserve">. a) DSGVO, zur Abwicklung und Erfüllung eines Vertrages oder vorvertraglicher Maßnahmen gem.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xml:space="preserve">. b) DS-GVO oder bei einem berechtigten Interesse gem.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f) DSGVO. Das berechtigte Interesse liegt dabei darin, Anfragen zu beantworten und über unsere Produkte und Dienstleistungen zu informieren.</w:t>
      </w:r>
      <w:r w:rsidRPr="00BF4385">
        <w:rPr>
          <w:rFonts w:ascii="Open Sans" w:eastAsia="Times New Roman" w:hAnsi="Open Sans" w:cs="Times New Roman"/>
          <w:color w:val="1D1D1B"/>
          <w:sz w:val="20"/>
          <w:szCs w:val="20"/>
          <w:lang w:eastAsia="de-DE"/>
        </w:rPr>
        <w:br/>
        <w:t xml:space="preserve">Bei der ausschließlich informatorischen Nutzung der Website, also wenn Sie sich nicht registrieren oder uns anderweitig Informationen übermitteln, werden nur die Daten erhoben, die Ihr Browser an den von uns genutzten Server übermittelt. Wenn Sie unsere Website betrachten möchten, werden die folgenden Daten erhoben, die für uns technisch erforderlich sind, um Ihnen unsere Website anzuzeigen und die Stabilität und Sicherheit zu gewährleisten. Die Weiterleitung erfolgt automatisiert durch Ihren Browser und ist bei der Nutzung des Internets diesem inhärent. (Rechtsgrundlage ist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f DS-GVO):</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IP-Adresse</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Datum und Uhrzeit der Anfrage</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Zeitzonendifferenz zur Greenwich Mean Time (GMT)</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Inhalt der Anforderung (konkrete Seite)</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Zugriffsstatus/HTTP-Statuscode</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jeweils übertragene Datenmenge</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Website, von der die Anforderung kommt</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Browser</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lastRenderedPageBreak/>
        <w:t>Betriebssystem und dessen Oberfläche</w:t>
      </w:r>
    </w:p>
    <w:p w:rsidR="00BF4385" w:rsidRPr="00BF4385" w:rsidRDefault="00BF4385" w:rsidP="00BF4385">
      <w:pPr>
        <w:numPr>
          <w:ilvl w:val="0"/>
          <w:numId w:val="1"/>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Sprache und Version der Browsersoftware.</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Verantwortlicher</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Den Verantwortlichen gem. Art. 4 Nr. 7 EU-Datenschutz-Grundverordnung (DS-GVO) entnehmen Sie bitte dem Impressum.</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Verwendungszwecke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Die von Ihnen erfassten persönlichen Daten werden wir nur dazu verwenden, Ihnen die gewünschten Produkte oder Dienstleistungen bereitzustellen, oder aber zu anderen Zwecken, für die Sie Ihre Einwilligung erteilt haben, sofern keine anderslautenden gesetzlichen Verpflichtungen bestehen.</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Betroffenenrechte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Sie haben gegenüber uns folgende Rechte hinsichtlich der Sie betreffenden personenbezogenen Daten:</w:t>
      </w:r>
    </w:p>
    <w:p w:rsidR="00BF4385" w:rsidRPr="00BF4385" w:rsidRDefault="00BF4385" w:rsidP="00BF4385">
      <w:pPr>
        <w:numPr>
          <w:ilvl w:val="0"/>
          <w:numId w:val="2"/>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Recht auf Auskunft,</w:t>
      </w:r>
    </w:p>
    <w:p w:rsidR="00BF4385" w:rsidRPr="00BF4385" w:rsidRDefault="00BF4385" w:rsidP="00BF4385">
      <w:pPr>
        <w:numPr>
          <w:ilvl w:val="0"/>
          <w:numId w:val="2"/>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Recht auf Berichtigung oder Löschung,</w:t>
      </w:r>
    </w:p>
    <w:p w:rsidR="00BF4385" w:rsidRPr="00BF4385" w:rsidRDefault="00BF4385" w:rsidP="00BF4385">
      <w:pPr>
        <w:numPr>
          <w:ilvl w:val="0"/>
          <w:numId w:val="2"/>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Recht auf Einschränkung der Verarbeitung,</w:t>
      </w:r>
    </w:p>
    <w:p w:rsidR="00BF4385" w:rsidRPr="00BF4385" w:rsidRDefault="00BF4385" w:rsidP="00BF4385">
      <w:pPr>
        <w:numPr>
          <w:ilvl w:val="0"/>
          <w:numId w:val="2"/>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Recht auf Widerspruch gegen die Verarbeitung,</w:t>
      </w:r>
    </w:p>
    <w:p w:rsidR="00BF4385" w:rsidRPr="00BF4385" w:rsidRDefault="00BF4385" w:rsidP="00BF4385">
      <w:pPr>
        <w:numPr>
          <w:ilvl w:val="0"/>
          <w:numId w:val="2"/>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Recht auf Datenübertragbarkeit.</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Sie haben zudem das Recht, sich bei einer Datenschutz-Aufsichtsbehörde über die Verarbeitung Ihrer personenbezogenen Daten durch uns zu beschweren. </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Recht auf Widerruf oder Widerspruch gegen die Verarbeitung Ihrer Daten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Falls Sie eine Einwilligung zur Verarbeitung Ihrer Daten erteilt haben, können Sie diese jederzeit widerrufen. Ein solcher Widerruf beeinflusst die Zulässigkeit der Verarbeitung Ihrer personenbezogenen Daten, nachdem Sie ihn gegenüber uns ausgesprochen haben.</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Aufbewahrung von Daten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 xml:space="preserve">Wir speichern personenbezogene Daten, solange dies zur Erfüllung unserer vertraglichen sowie vor- und nachvertraglichen Verpflichtungen erforderlich ist. Dies berührt nicht Ihr Recht auf Löschung oder Einschränkung der Verarbeitung. Außerdem wird dadurch nicht unser Recht berührt die Daten bei rechtlich zwingenden Gründen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xml:space="preserve">. c) DS-GVO) oder bei Vorliegen eines berechtigten Interesses (Art. 6 Abs. 1 </w:t>
      </w:r>
      <w:proofErr w:type="spellStart"/>
      <w:r w:rsidRPr="00BF4385">
        <w:rPr>
          <w:rFonts w:ascii="Open Sans" w:eastAsia="Times New Roman" w:hAnsi="Open Sans" w:cs="Times New Roman"/>
          <w:color w:val="1D1D1B"/>
          <w:sz w:val="20"/>
          <w:szCs w:val="20"/>
          <w:lang w:eastAsia="de-DE"/>
        </w:rPr>
        <w:t>lit</w:t>
      </w:r>
      <w:proofErr w:type="spellEnd"/>
      <w:r w:rsidRPr="00BF4385">
        <w:rPr>
          <w:rFonts w:ascii="Open Sans" w:eastAsia="Times New Roman" w:hAnsi="Open Sans" w:cs="Times New Roman"/>
          <w:color w:val="1D1D1B"/>
          <w:sz w:val="20"/>
          <w:szCs w:val="20"/>
          <w:lang w:eastAsia="de-DE"/>
        </w:rPr>
        <w:t>. b) DS-GVO) weiterhin zu speichern. Als berechtigtes Interesse kommen insbesondere das Prüfen und Durchsetzen von Schadensersatz- und anderen Ansprüchen in Betracht.</w:t>
      </w:r>
      <w:r w:rsidRPr="00BF4385">
        <w:rPr>
          <w:rFonts w:ascii="Open Sans" w:eastAsia="Times New Roman" w:hAnsi="Open Sans" w:cs="Times New Roman"/>
          <w:color w:val="1D1D1B"/>
          <w:sz w:val="20"/>
          <w:szCs w:val="20"/>
          <w:lang w:eastAsia="de-DE"/>
        </w:rPr>
        <w:br/>
        <w:t>Logdateien, die zur Stabilität und Sicherheit des Systems erforderlich sind werden nach vier Tagen automatisiert gelöscht.</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Einsatz von Cookies</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Zusätzlich zu den zuvor genannten Daten werden bei Ihrer Nutzung unserer Website Cookies auf Ihrem Rechner gespeichert. Bei Cookies handelt es sich um kleine Textdateien, die auf Ihrer Festplatte dem von Ihnen verwendeten Browser zugeordnet gespeichert werden und durch welche der Stelle, die den Cookie setzt (hier durch uns), bestimmte Informationen zufließen. Cookies können keine Programme ausführen oder Viren auf Ihren Computer übertragen. Sie dienen dazu, das Internetangebot insgesamt nutzerfreundlicher und effektiver zu machen.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lastRenderedPageBreak/>
        <w:t>a) Diese Website nutzt folgende Arten von Cookies, deren Umfang und Funktionsweise im Folgenden erläutert werden:</w:t>
      </w:r>
    </w:p>
    <w:p w:rsidR="00BF4385" w:rsidRPr="00BF4385" w:rsidRDefault="00BF4385" w:rsidP="00BF4385">
      <w:pPr>
        <w:numPr>
          <w:ilvl w:val="0"/>
          <w:numId w:val="3"/>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Transiente Cookies (dazu b)</w:t>
      </w:r>
    </w:p>
    <w:p w:rsidR="00BF4385" w:rsidRPr="00BF4385" w:rsidRDefault="00BF4385" w:rsidP="00BF4385">
      <w:pPr>
        <w:numPr>
          <w:ilvl w:val="0"/>
          <w:numId w:val="3"/>
        </w:numPr>
        <w:shd w:val="clear" w:color="auto" w:fill="FFFFFF"/>
        <w:spacing w:after="150" w:line="240" w:lineRule="auto"/>
        <w:ind w:left="390" w:right="240"/>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Persistente Cookies (dazu c).</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b) Transiente Cookies werden automatisiert gelöscht, wenn Sie den Browser schließen. Dazu zählen insbesondere die Session-Cookies. Diese speichern eine sogenannte Session-ID, mit welcher sich verschiedene Anfragen Ihres Browsers der gemeinsamen Sitzung zuordnen lassen. Dadurch kann Ihr Rechner wiedererkannt werden, wenn Sie auf unsere Website zurückkehren. Die Session-Cookies werden gelöscht, wenn Sie sich ausloggen oder den Browser schließen.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c) Persistente Cookies werden automatisiert nach einer vorgegebenen Dauer gelöscht, die sich je nach Cookie unterscheiden kann. Sie können die Cookies in den Sicherheitseinstellungen Ihres Browsers jederzeit löschen.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 Sie können Ihre Browser-Einstellung entsprechend Ihren Wünschen konfigurieren und z. B. die Annahme von Third-Party-Cookies oder allen Cookies ablehnen. Wir weisen Sie darauf hin, dass Sie eventuell nicht alle Funktionen dieser Website nutzen können.</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Sicherheit</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Wir setzen technische und organisatorische Sicherheitsmaßnahmen ein, um Ihre zur Verfügung gestellten Daten durch zufällige oder vorsätzliche Manipulation, Verlust, Zerstörung oder Zugriff unberechtigter Personen zu schützen. Im Falle der Erhebung und Verarbeitung persönlicher Daten werden die Informationen in verschlüsselter Form übertragen, um einem Missbrauch der Daten durch Dritte vorzubeugen. Unsere Sicherungsmaßnahmen werden entsprechend der technologischen Entwicklung fortlaufend überarbeitet.</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Anpassungen</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Die ständige Entwicklung des Internets macht von Zeit zu Zeit Anpassungen unserer Datenschutzerklärung erforderlich. Wir behalten uns vor, jederzeit entsprechende Änderungen vorzunehmen.</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Nutzungsstatistik</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Beim Besuch unserer Seite wird von uns anonymisiert erfasst, auf welchem Weg die Besucher zu unserer Webseite gekommen sind und wie viele Nutzer die Seite aufgerufen haben. (Suchmaschine, Verlinkung, direkte Eingabe oder Werbemaßnahmen) Die Daten werden nicht dazu genutzt einzelne Besucher zu identifizieren, sondern ausschließlich zur Übermittlung quantitativer Größen. Die Statistik kann nicht dazu genutzt werden ihr Verhalten auf anderen Webseiten nachzuvollziehen. Die Daten werden nicht mit anderen Diensten verknüpft. Wenn Sie das Setzen von Cookies in Ihrem Browser deaktiviert haben, werden Ihre Besuche nicht erfasst. Ansonsten werden diese Cookies nach sieben Tagen automatisiert gelöscht.</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t>Inhalte Dritter auf der Webseite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Unser Internetauftritt integriert Inhalte anderer Anbieter. Dies können reine Content-Elemente (z.B. Nachrichten, Neuigkeiten), aber auch Widgets (Funktionen wie z.B. Buchungssysteme) oder z.B. Schriften und technische Bibliotheken sein. Dazu gehören auch Google Fonts. Aus technischen Gründen erfolgt dies, indem diese Inhalte vom Browser von anderen Servern geladen werden. In diesem Zusammenhang werden die aktuell von Ihrem Browser verwendete IP und der verwendete Browser des anfragenden Systems übermittelt. Bitte beachten Sie diesbezüglich die jeweiligen Datenschutzerklärungen der Drittanbieter.</w:t>
      </w:r>
    </w:p>
    <w:p w:rsidR="00BF4385" w:rsidRPr="00BF4385" w:rsidRDefault="00BF4385" w:rsidP="00BF4385">
      <w:pPr>
        <w:shd w:val="clear" w:color="auto" w:fill="FFFFFF"/>
        <w:spacing w:after="168" w:line="240" w:lineRule="auto"/>
        <w:outlineLvl w:val="2"/>
        <w:rPr>
          <w:rFonts w:ascii="Frank Ruhl Libre" w:eastAsia="Times New Roman" w:hAnsi="Frank Ruhl Libre" w:cs="Times New Roman"/>
          <w:color w:val="1D1D1B"/>
          <w:sz w:val="20"/>
          <w:szCs w:val="20"/>
          <w:lang w:eastAsia="de-DE"/>
        </w:rPr>
      </w:pPr>
      <w:r w:rsidRPr="00BF4385">
        <w:rPr>
          <w:rFonts w:ascii="Frank Ruhl Libre" w:eastAsia="Times New Roman" w:hAnsi="Frank Ruhl Libre" w:cs="Times New Roman"/>
          <w:color w:val="1D1D1B"/>
          <w:sz w:val="20"/>
          <w:szCs w:val="20"/>
          <w:lang w:eastAsia="de-DE"/>
        </w:rPr>
        <w:lastRenderedPageBreak/>
        <w:t>Routenplaner</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Wir verwenden Bing Maps von Microsoft auf unserer Webseite, um Ihnen einen interaktiven Routenplaner zur Verfügung zu stellen. Beim Nutzen dieses Service erklären Sie sich damit einverstanden, dass Daten gemäß der Bing Maps Nutzungsbedingungen (</w:t>
      </w:r>
      <w:hyperlink r:id="rId7" w:tgtFrame="_blank" w:tooltip="https://www.microsoft.com/en-us/maps/product/terms" w:history="1">
        <w:r w:rsidRPr="00582573">
          <w:rPr>
            <w:rFonts w:ascii="Open Sans" w:eastAsia="Times New Roman" w:hAnsi="Open Sans" w:cs="Times New Roman"/>
            <w:color w:val="4A4A49"/>
            <w:sz w:val="20"/>
            <w:szCs w:val="20"/>
            <w:u w:val="single"/>
            <w:lang w:eastAsia="de-DE"/>
          </w:rPr>
          <w:t>https://www.microsoft.com/en-us/maps/product/terms</w:t>
        </w:r>
      </w:hyperlink>
      <w:r w:rsidRPr="00BF4385">
        <w:rPr>
          <w:rFonts w:ascii="Open Sans" w:eastAsia="Times New Roman" w:hAnsi="Open Sans" w:cs="Times New Roman"/>
          <w:color w:val="1D1D1B"/>
          <w:sz w:val="20"/>
          <w:szCs w:val="20"/>
          <w:lang w:eastAsia="de-DE"/>
        </w:rPr>
        <w:t>) verarbeitet werden.</w:t>
      </w:r>
      <w:r w:rsidRPr="00BF4385">
        <w:rPr>
          <w:rFonts w:ascii="Open Sans" w:eastAsia="Times New Roman" w:hAnsi="Open Sans" w:cs="Times New Roman"/>
          <w:color w:val="1D1D1B"/>
          <w:sz w:val="20"/>
          <w:szCs w:val="20"/>
          <w:lang w:eastAsia="de-DE"/>
        </w:rPr>
        <w:br/>
        <w:t xml:space="preserve">Sofern Sie die Karte nutzen, z.B. durch Anklicken unserer dort aufgeführten Standorte, erfassen wir von Ihnen keinerlei Daten. Ggf. erfasst jedoch das Unternehmen Microsoft Corporation, </w:t>
      </w:r>
      <w:proofErr w:type="spellStart"/>
      <w:r w:rsidRPr="00BF4385">
        <w:rPr>
          <w:rFonts w:ascii="Open Sans" w:eastAsia="Times New Roman" w:hAnsi="Open Sans" w:cs="Times New Roman"/>
          <w:color w:val="1D1D1B"/>
          <w:sz w:val="20"/>
          <w:szCs w:val="20"/>
          <w:lang w:eastAsia="de-DE"/>
        </w:rPr>
        <w:t>One</w:t>
      </w:r>
      <w:proofErr w:type="spellEnd"/>
      <w:r w:rsidRPr="00BF4385">
        <w:rPr>
          <w:rFonts w:ascii="Open Sans" w:eastAsia="Times New Roman" w:hAnsi="Open Sans" w:cs="Times New Roman"/>
          <w:color w:val="1D1D1B"/>
          <w:sz w:val="20"/>
          <w:szCs w:val="20"/>
          <w:lang w:eastAsia="de-DE"/>
        </w:rPr>
        <w:t xml:space="preserve"> Microsoft Way, Redmond, WA 98052-6399 USA im Rahmen von BING Maps personenbezogene oder personenbeziehbare Daten. Wir können nicht beeinflussen welche Daten Microsoft mit BING Maps erfasst, noch wie Microsoft diese verarbeitet und auswertet. Bitte beachten Sie deswegen die Nutzungsbedingungen für BING Maps, abrufbar unter </w:t>
      </w:r>
      <w:hyperlink r:id="rId8" w:tgtFrame="_blank" w:tooltip="https://privacy.microsoft.com/de-de/privacystatement/" w:history="1">
        <w:r w:rsidRPr="00582573">
          <w:rPr>
            <w:rFonts w:ascii="Open Sans" w:eastAsia="Times New Roman" w:hAnsi="Open Sans" w:cs="Times New Roman"/>
            <w:color w:val="4A4A49"/>
            <w:sz w:val="20"/>
            <w:szCs w:val="20"/>
            <w:u w:val="single"/>
            <w:lang w:eastAsia="de-DE"/>
          </w:rPr>
          <w:t>https://privacy.microsoft.com/de-de/privacystatement/</w:t>
        </w:r>
      </w:hyperlink>
      <w:r w:rsidRPr="00BF4385">
        <w:rPr>
          <w:rFonts w:ascii="Open Sans" w:eastAsia="Times New Roman" w:hAnsi="Open Sans" w:cs="Times New Roman"/>
          <w:color w:val="1D1D1B"/>
          <w:sz w:val="20"/>
          <w:szCs w:val="20"/>
          <w:lang w:eastAsia="de-DE"/>
        </w:rPr>
        <w:t> (dort Bereich BING anklicken).</w:t>
      </w:r>
    </w:p>
    <w:p w:rsidR="00BF4385" w:rsidRPr="00BF4385" w:rsidRDefault="00BF4385" w:rsidP="00BF4385">
      <w:pPr>
        <w:shd w:val="clear" w:color="auto" w:fill="FFFFFF"/>
        <w:spacing w:after="168" w:line="240" w:lineRule="auto"/>
        <w:outlineLvl w:val="0"/>
        <w:rPr>
          <w:rFonts w:ascii="Frank Ruhl Libre" w:eastAsia="Times New Roman" w:hAnsi="Frank Ruhl Libre" w:cs="Times New Roman"/>
          <w:color w:val="1D1D1B"/>
          <w:kern w:val="36"/>
          <w:sz w:val="20"/>
          <w:szCs w:val="20"/>
          <w:lang w:eastAsia="de-DE"/>
        </w:rPr>
      </w:pPr>
      <w:r w:rsidRPr="00BF4385">
        <w:rPr>
          <w:rFonts w:ascii="Frank Ruhl Libre" w:eastAsia="Times New Roman" w:hAnsi="Frank Ruhl Libre" w:cs="Times New Roman"/>
          <w:color w:val="1D1D1B"/>
          <w:kern w:val="36"/>
          <w:sz w:val="20"/>
          <w:szCs w:val="20"/>
          <w:lang w:eastAsia="de-DE"/>
        </w:rPr>
        <w:t>Datenschutzbeauftragte: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Frau Tina Franzke</w:t>
      </w:r>
    </w:p>
    <w:p w:rsidR="00BF4385" w:rsidRPr="00BF4385" w:rsidRDefault="00BF4385" w:rsidP="00BF4385">
      <w:pPr>
        <w:shd w:val="clear" w:color="auto" w:fill="FFFFFF"/>
        <w:spacing w:after="240" w:line="240" w:lineRule="auto"/>
        <w:rPr>
          <w:rFonts w:ascii="Open Sans" w:eastAsia="Times New Roman" w:hAnsi="Open Sans" w:cs="Times New Roman"/>
          <w:color w:val="1D1D1B"/>
          <w:sz w:val="20"/>
          <w:szCs w:val="20"/>
          <w:lang w:eastAsia="de-DE"/>
        </w:rPr>
      </w:pPr>
      <w:r w:rsidRPr="00BF4385">
        <w:rPr>
          <w:rFonts w:ascii="Open Sans" w:eastAsia="Times New Roman" w:hAnsi="Open Sans" w:cs="Times New Roman"/>
          <w:color w:val="1D1D1B"/>
          <w:sz w:val="20"/>
          <w:szCs w:val="20"/>
          <w:lang w:eastAsia="de-DE"/>
        </w:rPr>
        <w:t>Dienstansässig: Ludwig-Jahn-Straße 21, 72250 Freudenstadt </w:t>
      </w:r>
      <w:r w:rsidRPr="00BF4385">
        <w:rPr>
          <w:rFonts w:ascii="Open Sans" w:eastAsia="Times New Roman" w:hAnsi="Open Sans" w:cs="Times New Roman"/>
          <w:color w:val="1D1D1B"/>
          <w:sz w:val="20"/>
          <w:szCs w:val="20"/>
          <w:lang w:eastAsia="de-DE"/>
        </w:rPr>
        <w:br/>
        <w:t>Telefon: +49 (0)7441-93092-22</w:t>
      </w:r>
      <w:r w:rsidRPr="00BF4385">
        <w:rPr>
          <w:rFonts w:ascii="Open Sans" w:eastAsia="Times New Roman" w:hAnsi="Open Sans" w:cs="Times New Roman"/>
          <w:color w:val="1D1D1B"/>
          <w:sz w:val="20"/>
          <w:szCs w:val="20"/>
          <w:lang w:eastAsia="de-DE"/>
        </w:rPr>
        <w:br/>
        <w:t>E-Mail: datenschutz@notare-f-h.de</w:t>
      </w:r>
    </w:p>
    <w:p w:rsidR="002C563F" w:rsidRPr="00582573" w:rsidRDefault="002C563F" w:rsidP="00BF4385">
      <w:pPr>
        <w:rPr>
          <w:sz w:val="20"/>
          <w:szCs w:val="20"/>
        </w:rPr>
      </w:pPr>
    </w:p>
    <w:sectPr w:rsidR="002C563F" w:rsidRPr="005825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 Ruhl Libre">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39"/>
    <w:multiLevelType w:val="multilevel"/>
    <w:tmpl w:val="290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22AFD"/>
    <w:multiLevelType w:val="multilevel"/>
    <w:tmpl w:val="C31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972ED"/>
    <w:multiLevelType w:val="multilevel"/>
    <w:tmpl w:val="7DD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85"/>
    <w:rsid w:val="002C563F"/>
    <w:rsid w:val="00582573"/>
    <w:rsid w:val="00BF4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2E9D"/>
  <w15:chartTrackingRefBased/>
  <w15:docId w15:val="{32FF57BB-04F4-4546-8471-17B48F8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BF4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F438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BF438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438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F438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BF4385"/>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BF43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F4385"/>
    <w:rPr>
      <w:b/>
      <w:bCs/>
    </w:rPr>
  </w:style>
  <w:style w:type="character" w:styleId="Hyperlink">
    <w:name w:val="Hyperlink"/>
    <w:basedOn w:val="Absatz-Standardschriftart"/>
    <w:uiPriority w:val="99"/>
    <w:semiHidden/>
    <w:unhideWhenUsed/>
    <w:rsid w:val="00BF4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microsoft.com/de-de/privacystatement/" TargetMode="External"/><Relationship Id="rId3" Type="http://schemas.openxmlformats.org/officeDocument/2006/relationships/settings" Target="settings.xml"/><Relationship Id="rId7" Type="http://schemas.openxmlformats.org/officeDocument/2006/relationships/hyperlink" Target="https://www.microsoft.com/en-us/maps/product/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europa.eu/consumers/odr" TargetMode="External"/><Relationship Id="rId5" Type="http://schemas.openxmlformats.org/officeDocument/2006/relationships/hyperlink" Target="https://www.notar.de/der-notar/berufsrech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9619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Katja</dc:creator>
  <cp:keywords/>
  <dc:description/>
  <cp:lastModifiedBy>Zimmermann, Katja</cp:lastModifiedBy>
  <cp:revision>2</cp:revision>
  <dcterms:created xsi:type="dcterms:W3CDTF">2026-01-20T15:47:00Z</dcterms:created>
  <dcterms:modified xsi:type="dcterms:W3CDTF">2026-01-20T15:48:00Z</dcterms:modified>
</cp:coreProperties>
</file>